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ABBDC" w14:textId="47CA4145" w:rsidR="00AB35A8" w:rsidRPr="00BB763A" w:rsidRDefault="00E52219">
      <w:pPr>
        <w:rPr>
          <w:rFonts w:ascii="Palatino Linotype" w:hAnsi="Palatino Linotype"/>
          <w:b/>
          <w:bCs/>
          <w:sz w:val="24"/>
          <w:szCs w:val="24"/>
        </w:rPr>
      </w:pPr>
      <w:r w:rsidRPr="00BB763A">
        <w:rPr>
          <w:rFonts w:ascii="Palatino Linotype" w:hAnsi="Palatino Linotype"/>
          <w:b/>
          <w:bCs/>
          <w:sz w:val="24"/>
          <w:szCs w:val="24"/>
        </w:rPr>
        <w:t xml:space="preserve">Supplementary Material – </w:t>
      </w:r>
      <w:r w:rsidR="00B4778C" w:rsidRPr="00BB763A">
        <w:rPr>
          <w:rFonts w:ascii="Palatino Linotype" w:hAnsi="Palatino Linotype"/>
          <w:b/>
          <w:bCs/>
          <w:sz w:val="24"/>
          <w:szCs w:val="24"/>
        </w:rPr>
        <w:t>Subset of l</w:t>
      </w:r>
      <w:r w:rsidRPr="00BB763A">
        <w:rPr>
          <w:rFonts w:ascii="Palatino Linotype" w:hAnsi="Palatino Linotype"/>
          <w:b/>
          <w:bCs/>
          <w:sz w:val="24"/>
          <w:szCs w:val="24"/>
        </w:rPr>
        <w:t>iterature o</w:t>
      </w:r>
      <w:r w:rsidR="00B4778C" w:rsidRPr="00BB763A">
        <w:rPr>
          <w:rFonts w:ascii="Palatino Linotype" w:hAnsi="Palatino Linotype"/>
          <w:b/>
          <w:bCs/>
          <w:sz w:val="24"/>
          <w:szCs w:val="24"/>
        </w:rPr>
        <w:t>n</w:t>
      </w:r>
      <w:r w:rsidRPr="00BB763A">
        <w:rPr>
          <w:rFonts w:ascii="Palatino Linotype" w:hAnsi="Palatino Linotype"/>
          <w:b/>
          <w:bCs/>
          <w:sz w:val="24"/>
          <w:szCs w:val="24"/>
        </w:rPr>
        <w:t xml:space="preserve"> effects sizes on Go NoGo ERP Studies</w:t>
      </w:r>
    </w:p>
    <w:p w14:paraId="78D6E4F8" w14:textId="7C7DF5ED" w:rsidR="00B4778C" w:rsidRPr="00BB763A" w:rsidRDefault="00BB763A" w:rsidP="00E52219">
      <w:pPr>
        <w:shd w:val="clear" w:color="auto" w:fill="FFFFFF"/>
        <w:spacing w:after="0" w:line="240" w:lineRule="auto"/>
        <w:rPr>
          <w:rFonts w:ascii="Palatino Linotype" w:eastAsia="Times New Roman" w:hAnsi="Palatino Linotype" w:cs="Arial"/>
          <w:b/>
          <w:bCs/>
          <w:noProof w:val="0"/>
          <w:color w:val="333333"/>
          <w:kern w:val="0"/>
          <w:sz w:val="24"/>
          <w:szCs w:val="24"/>
          <w:lang w:eastAsia="en-CA"/>
          <w14:ligatures w14:val="none"/>
        </w:rPr>
      </w:pPr>
      <w:r w:rsidRPr="00BB763A">
        <w:rPr>
          <w:rFonts w:ascii="Palatino Linotype" w:eastAsia="Times New Roman" w:hAnsi="Palatino Linotype" w:cs="Arial"/>
          <w:b/>
          <w:bCs/>
          <w:noProof w:val="0"/>
          <w:color w:val="333333"/>
          <w:kern w:val="0"/>
          <w:sz w:val="24"/>
          <w:szCs w:val="24"/>
          <w:lang w:eastAsia="en-CA"/>
          <w14:ligatures w14:val="none"/>
        </w:rPr>
        <w:t>Background</w:t>
      </w:r>
      <w:r>
        <w:rPr>
          <w:rFonts w:ascii="Palatino Linotype" w:eastAsia="Times New Roman" w:hAnsi="Palatino Linotype" w:cs="Arial"/>
          <w:b/>
          <w:bCs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 &amp; Method</w:t>
      </w:r>
    </w:p>
    <w:p w14:paraId="5083C002" w14:textId="68AC8B91" w:rsidR="00E83FAC" w:rsidRDefault="00E83FAC" w:rsidP="00E52219">
      <w:pPr>
        <w:shd w:val="clear" w:color="auto" w:fill="FFFFFF"/>
        <w:spacing w:after="0" w:line="240" w:lineRule="auto"/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</w:pPr>
      <w:r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We performed a cursory </w:t>
      </w:r>
      <w:r w:rsidR="002A6F63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scoping and </w:t>
      </w:r>
      <w:r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rapid </w:t>
      </w:r>
      <w:r w:rsidR="00EA3315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survey</w:t>
      </w:r>
      <w:r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 and </w:t>
      </w:r>
      <w:r w:rsidR="00F66B19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basic descriptive </w:t>
      </w:r>
      <w:r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meta-analysis of the top ten cited ERP papers on Go </w:t>
      </w:r>
      <w:proofErr w:type="spellStart"/>
      <w:r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NoGo</w:t>
      </w:r>
      <w:proofErr w:type="spellEnd"/>
      <w:r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 tasks specifically related to inhibitory control processes published in</w:t>
      </w:r>
      <w:r w:rsidR="00301CD1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 </w:t>
      </w:r>
      <w:r w:rsidR="00EA3315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the last decade in </w:t>
      </w:r>
      <w:r w:rsidR="00301CD1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PubMed</w:t>
      </w:r>
      <w:r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 between 201</w:t>
      </w:r>
      <w:r w:rsidR="00EA3315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5</w:t>
      </w:r>
      <w:r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 and 2025</w:t>
      </w:r>
      <w:r w:rsidR="00EA3315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 (the year we submitted the present manuscript)</w:t>
      </w:r>
      <w:r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. To identify</w:t>
      </w:r>
      <w:r w:rsidR="002A6F63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 and retrieve</w:t>
      </w:r>
      <w:r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 this specific subset we conducted a basic bibliometric analysis (Boolean search) using the </w:t>
      </w:r>
      <w:proofErr w:type="spellStart"/>
      <w:r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VOSviewer</w:t>
      </w:r>
      <w:proofErr w:type="spellEnd"/>
      <w:r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 software (</w:t>
      </w:r>
      <w:hyperlink r:id="rId5" w:history="1">
        <w:r w:rsidRPr="008907FE">
          <w:rPr>
            <w:rStyle w:val="Hyperlink"/>
            <w:rFonts w:ascii="Palatino Linotype" w:eastAsia="Times New Roman" w:hAnsi="Palatino Linotype" w:cs="Arial"/>
            <w:noProof w:val="0"/>
            <w:kern w:val="0"/>
            <w:sz w:val="24"/>
            <w:szCs w:val="24"/>
            <w:lang w:eastAsia="en-CA"/>
            <w14:ligatures w14:val="none"/>
          </w:rPr>
          <w:t>https://www.vosviewer.com/</w:t>
        </w:r>
      </w:hyperlink>
      <w:r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). Key terms used for the search were </w:t>
      </w:r>
      <w:r w:rsidR="00301CD1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“Go </w:t>
      </w:r>
      <w:proofErr w:type="spellStart"/>
      <w:r w:rsidR="00301CD1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NoGo</w:t>
      </w:r>
      <w:proofErr w:type="spellEnd"/>
      <w:r w:rsidR="00301CD1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”, “Event-Related Potentials”, “inhibitory control”</w:t>
      </w:r>
      <w:r w:rsidR="002A6F63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, “controlled experiment”, “laboratory”</w:t>
      </w:r>
      <w:r w:rsidR="00301CD1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. This search was not intended to be exhaustive but rather was to </w:t>
      </w:r>
      <w:r w:rsidR="00BB763A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inform heuristically</w:t>
      </w:r>
      <w:r w:rsidR="00301CD1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 the assumptions on the effect sizes obtained in controlled lab experiments in order to guide our statistical power analysis</w:t>
      </w:r>
      <w:r w:rsidR="00BB763A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 for assessment of acceptable minimal N</w:t>
      </w:r>
      <w:r w:rsidR="00301CD1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. </w:t>
      </w:r>
      <w:r w:rsidR="00F66B19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To permit comparison, a</w:t>
      </w:r>
      <w:r w:rsidR="00BB763A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ll effect size</w:t>
      </w:r>
      <w:r w:rsidR="00F66B19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 coefficients</w:t>
      </w:r>
      <w:r w:rsidR="00BB763A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 were converted to Cohen f (</w:t>
      </w:r>
      <w:r w:rsidR="00782362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i.e., </w:t>
      </w:r>
      <w:r w:rsidR="00BB763A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f(v)</w:t>
      </w:r>
      <w:r w:rsidR="00782362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)</w:t>
      </w:r>
      <w:r w:rsidR="00F66B19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.</w:t>
      </w:r>
    </w:p>
    <w:p w14:paraId="12F64BA3" w14:textId="77777777" w:rsidR="00B4778C" w:rsidRDefault="00B4778C" w:rsidP="00E52219">
      <w:pPr>
        <w:shd w:val="clear" w:color="auto" w:fill="FFFFFF"/>
        <w:spacing w:after="0" w:line="240" w:lineRule="auto"/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</w:pPr>
    </w:p>
    <w:p w14:paraId="46C4DBF1" w14:textId="46E48600" w:rsidR="00BB763A" w:rsidRPr="00BB763A" w:rsidRDefault="00BB763A" w:rsidP="00E52219">
      <w:pPr>
        <w:shd w:val="clear" w:color="auto" w:fill="FFFFFF"/>
        <w:spacing w:after="0" w:line="240" w:lineRule="auto"/>
        <w:rPr>
          <w:rFonts w:ascii="Palatino Linotype" w:eastAsia="Times New Roman" w:hAnsi="Palatino Linotype" w:cs="Arial"/>
          <w:b/>
          <w:bCs/>
          <w:noProof w:val="0"/>
          <w:color w:val="333333"/>
          <w:kern w:val="0"/>
          <w:sz w:val="24"/>
          <w:szCs w:val="24"/>
          <w:lang w:eastAsia="en-CA"/>
          <w14:ligatures w14:val="none"/>
        </w:rPr>
      </w:pPr>
      <w:r>
        <w:rPr>
          <w:rFonts w:ascii="Palatino Linotype" w:eastAsia="Times New Roman" w:hAnsi="Palatino Linotype" w:cs="Arial"/>
          <w:b/>
          <w:bCs/>
          <w:noProof w:val="0"/>
          <w:color w:val="333333"/>
          <w:kern w:val="0"/>
          <w:sz w:val="24"/>
          <w:szCs w:val="24"/>
          <w:lang w:eastAsia="en-CA"/>
          <w14:ligatures w14:val="none"/>
        </w:rPr>
        <w:t>Summary outline of f</w:t>
      </w:r>
      <w:r w:rsidRPr="00BB763A">
        <w:rPr>
          <w:rFonts w:ascii="Palatino Linotype" w:eastAsia="Times New Roman" w:hAnsi="Palatino Linotype" w:cs="Arial"/>
          <w:b/>
          <w:bCs/>
          <w:noProof w:val="0"/>
          <w:color w:val="333333"/>
          <w:kern w:val="0"/>
          <w:sz w:val="24"/>
          <w:szCs w:val="24"/>
          <w:lang w:eastAsia="en-CA"/>
          <w14:ligatures w14:val="none"/>
        </w:rPr>
        <w:t>indings</w:t>
      </w:r>
    </w:p>
    <w:p w14:paraId="66E125A3" w14:textId="012651A4" w:rsidR="00E87B3D" w:rsidRPr="00B4778C" w:rsidRDefault="00AF6833" w:rsidP="00DD0B41">
      <w:pPr>
        <w:shd w:val="clear" w:color="auto" w:fill="FFFFFF"/>
        <w:spacing w:after="0" w:line="240" w:lineRule="auto"/>
        <w:rPr>
          <w:rStyle w:val="t286pc"/>
          <w:rFonts w:ascii="Palatino Linotype" w:eastAsiaTheme="majorEastAsia" w:hAnsi="Palatino Linotype" w:cs="Arial"/>
          <w:color w:val="0A0A0A"/>
          <w:sz w:val="24"/>
          <w:szCs w:val="24"/>
        </w:rPr>
      </w:pPr>
      <w:r w:rsidRPr="00B4778C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N2</w:t>
      </w:r>
      <w:r w:rsidR="00BB763A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00</w:t>
      </w:r>
      <w:r w:rsidRPr="00B4778C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 and P3</w:t>
      </w:r>
      <w:r w:rsidR="00BB763A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00</w:t>
      </w:r>
      <w:r w:rsidRPr="00B4778C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 </w:t>
      </w:r>
      <w:r w:rsidR="00BB763A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a</w:t>
      </w:r>
      <w:r w:rsidRPr="00B4778C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mplitudes </w:t>
      </w:r>
      <w:r w:rsidR="00DD0B41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associated with</w:t>
      </w:r>
      <w:r w:rsidRPr="00B4778C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 inhibition show very large effect sizes in controlled experiments</w:t>
      </w:r>
      <w:r w:rsidR="00DD0B41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, f(v) ~ 2.27. </w:t>
      </w:r>
      <w:r w:rsidRPr="00B4778C">
        <w:rPr>
          <w:rFonts w:ascii="Palatino Linotype" w:eastAsia="Times New Roman" w:hAnsi="Palatino Linotype" w:cs="Arial"/>
          <w:noProof w:val="0"/>
          <w:color w:val="0A0A0A"/>
          <w:kern w:val="0"/>
          <w:sz w:val="24"/>
          <w:szCs w:val="24"/>
          <w:shd w:val="clear" w:color="auto" w:fill="FFFFFF"/>
          <w:lang w:eastAsia="en-CA"/>
          <w14:ligatures w14:val="none"/>
        </w:rPr>
        <w:t>Significant differences in P3</w:t>
      </w:r>
      <w:r w:rsidR="00FA7846">
        <w:rPr>
          <w:rFonts w:ascii="Palatino Linotype" w:eastAsia="Times New Roman" w:hAnsi="Palatino Linotype" w:cs="Arial"/>
          <w:noProof w:val="0"/>
          <w:color w:val="0A0A0A"/>
          <w:kern w:val="0"/>
          <w:sz w:val="24"/>
          <w:szCs w:val="24"/>
          <w:shd w:val="clear" w:color="auto" w:fill="FFFFFF"/>
          <w:lang w:eastAsia="en-CA"/>
          <w14:ligatures w14:val="none"/>
        </w:rPr>
        <w:t>00</w:t>
      </w:r>
      <w:r w:rsidRPr="00B4778C">
        <w:rPr>
          <w:rFonts w:ascii="Palatino Linotype" w:eastAsia="Times New Roman" w:hAnsi="Palatino Linotype" w:cs="Arial"/>
          <w:noProof w:val="0"/>
          <w:color w:val="0A0A0A"/>
          <w:kern w:val="0"/>
          <w:sz w:val="24"/>
          <w:szCs w:val="24"/>
          <w:shd w:val="clear" w:color="auto" w:fill="FFFFFF"/>
          <w:lang w:eastAsia="en-CA"/>
          <w14:ligatures w14:val="none"/>
        </w:rPr>
        <w:t xml:space="preserve"> amplitudes between Go and No-Go trials </w:t>
      </w:r>
      <w:r w:rsidR="00DD0B41">
        <w:rPr>
          <w:rFonts w:ascii="Palatino Linotype" w:eastAsia="Times New Roman" w:hAnsi="Palatino Linotype" w:cs="Arial"/>
          <w:noProof w:val="0"/>
          <w:color w:val="0A0A0A"/>
          <w:kern w:val="0"/>
          <w:sz w:val="24"/>
          <w:szCs w:val="24"/>
          <w:shd w:val="clear" w:color="auto" w:fill="FFFFFF"/>
          <w:lang w:eastAsia="en-CA"/>
          <w14:ligatures w14:val="none"/>
        </w:rPr>
        <w:t>report</w:t>
      </w:r>
      <w:r w:rsidRPr="00B4778C">
        <w:rPr>
          <w:rFonts w:ascii="Palatino Linotype" w:eastAsia="Times New Roman" w:hAnsi="Palatino Linotype" w:cs="Arial"/>
          <w:noProof w:val="0"/>
          <w:color w:val="0A0A0A"/>
          <w:kern w:val="0"/>
          <w:sz w:val="24"/>
          <w:szCs w:val="24"/>
          <w:shd w:val="clear" w:color="auto" w:fill="FFFFFF"/>
          <w:lang w:eastAsia="en-CA"/>
          <w14:ligatures w14:val="none"/>
        </w:rPr>
        <w:t xml:space="preserve"> effect sizes around </w:t>
      </w:r>
      <w:r w:rsidR="00DD0B41">
        <w:rPr>
          <w:rFonts w:ascii="Palatino Linotype" w:eastAsia="Times New Roman" w:hAnsi="Palatino Linotype" w:cs="Arial"/>
          <w:noProof w:val="0"/>
          <w:color w:val="0A0A0A"/>
          <w:kern w:val="0"/>
          <w:sz w:val="24"/>
          <w:szCs w:val="24"/>
          <w:shd w:val="clear" w:color="auto" w:fill="FFFFFF"/>
          <w:lang w:eastAsia="en-CA"/>
          <w14:ligatures w14:val="none"/>
        </w:rPr>
        <w:t xml:space="preserve">f(v) ~ 1.22. </w:t>
      </w:r>
      <w:r w:rsidRPr="00FA7846">
        <w:rPr>
          <w:rFonts w:ascii="Palatino Linotype" w:eastAsia="Times New Roman" w:hAnsi="Palatino Linotype" w:cs="Arial"/>
          <w:noProof w:val="0"/>
          <w:color w:val="0A0A0A"/>
          <w:kern w:val="0"/>
          <w:sz w:val="24"/>
          <w:szCs w:val="24"/>
          <w:shd w:val="clear" w:color="auto" w:fill="FFFFFF"/>
          <w:lang w:eastAsia="en-CA"/>
          <w14:ligatures w14:val="none"/>
        </w:rPr>
        <w:t>Response Inhibition (N2</w:t>
      </w:r>
      <w:r w:rsidR="00FA7846">
        <w:rPr>
          <w:rFonts w:ascii="Palatino Linotype" w:eastAsia="Times New Roman" w:hAnsi="Palatino Linotype" w:cs="Arial"/>
          <w:noProof w:val="0"/>
          <w:color w:val="0A0A0A"/>
          <w:kern w:val="0"/>
          <w:sz w:val="24"/>
          <w:szCs w:val="24"/>
          <w:shd w:val="clear" w:color="auto" w:fill="FFFFFF"/>
          <w:lang w:eastAsia="en-CA"/>
          <w14:ligatures w14:val="none"/>
        </w:rPr>
        <w:t>00</w:t>
      </w:r>
      <w:r w:rsidRPr="00FA7846">
        <w:rPr>
          <w:rFonts w:ascii="Palatino Linotype" w:eastAsia="Times New Roman" w:hAnsi="Palatino Linotype" w:cs="Arial"/>
          <w:noProof w:val="0"/>
          <w:color w:val="0A0A0A"/>
          <w:kern w:val="0"/>
          <w:sz w:val="24"/>
          <w:szCs w:val="24"/>
          <w:shd w:val="clear" w:color="auto" w:fill="FFFFFF"/>
          <w:lang w:eastAsia="en-CA"/>
          <w14:ligatures w14:val="none"/>
        </w:rPr>
        <w:t xml:space="preserve"> &amp; P3</w:t>
      </w:r>
      <w:r w:rsidR="00FA7846">
        <w:rPr>
          <w:rFonts w:ascii="Palatino Linotype" w:eastAsia="Times New Roman" w:hAnsi="Palatino Linotype" w:cs="Arial"/>
          <w:noProof w:val="0"/>
          <w:color w:val="0A0A0A"/>
          <w:kern w:val="0"/>
          <w:sz w:val="24"/>
          <w:szCs w:val="24"/>
          <w:shd w:val="clear" w:color="auto" w:fill="FFFFFF"/>
          <w:lang w:eastAsia="en-CA"/>
          <w14:ligatures w14:val="none"/>
        </w:rPr>
        <w:t>00</w:t>
      </w:r>
      <w:r w:rsidRPr="00FA7846">
        <w:rPr>
          <w:rFonts w:ascii="Palatino Linotype" w:eastAsia="Times New Roman" w:hAnsi="Palatino Linotype" w:cs="Arial"/>
          <w:noProof w:val="0"/>
          <w:color w:val="0A0A0A"/>
          <w:kern w:val="0"/>
          <w:sz w:val="24"/>
          <w:szCs w:val="24"/>
          <w:shd w:val="clear" w:color="auto" w:fill="FFFFFF"/>
          <w:lang w:eastAsia="en-CA"/>
          <w14:ligatures w14:val="none"/>
        </w:rPr>
        <w:t>): Standard Go/No-Go tasks consistently yield large effects for the No-Go condition compared to the Go condition</w:t>
      </w:r>
      <w:r w:rsidR="00DD0B41">
        <w:rPr>
          <w:rFonts w:ascii="Palatino Linotype" w:eastAsia="Times New Roman" w:hAnsi="Palatino Linotype" w:cs="Arial"/>
          <w:noProof w:val="0"/>
          <w:color w:val="0A0A0A"/>
          <w:kern w:val="0"/>
          <w:sz w:val="24"/>
          <w:szCs w:val="24"/>
          <w:shd w:val="clear" w:color="auto" w:fill="FFFFFF"/>
          <w:lang w:eastAsia="en-CA"/>
          <w14:ligatures w14:val="none"/>
        </w:rPr>
        <w:t>, f(v) ~</w:t>
      </w:r>
      <w:r w:rsidRPr="00FA7846">
        <w:rPr>
          <w:rFonts w:ascii="Palatino Linotype" w:eastAsia="Times New Roman" w:hAnsi="Palatino Linotype" w:cs="Arial"/>
          <w:noProof w:val="0"/>
          <w:color w:val="0A0A0A"/>
          <w:kern w:val="0"/>
          <w:sz w:val="24"/>
          <w:szCs w:val="24"/>
          <w:shd w:val="clear" w:color="auto" w:fill="FFFFFF"/>
          <w:lang w:eastAsia="en-CA"/>
          <w14:ligatures w14:val="none"/>
        </w:rPr>
        <w:t xml:space="preserve"> </w:t>
      </w:r>
      <w:r w:rsidR="00DD0B41">
        <w:rPr>
          <w:rFonts w:ascii="Palatino Linotype" w:eastAsia="Times New Roman" w:hAnsi="Palatino Linotype" w:cs="Arial"/>
          <w:noProof w:val="0"/>
          <w:color w:val="0A0A0A"/>
          <w:kern w:val="0"/>
          <w:sz w:val="24"/>
          <w:szCs w:val="24"/>
          <w:shd w:val="clear" w:color="auto" w:fill="FFFFFF"/>
          <w:lang w:eastAsia="en-CA"/>
          <w14:ligatures w14:val="none"/>
        </w:rPr>
        <w:t>1.27. In relation to t</w:t>
      </w:r>
      <w:r w:rsidR="00E87B3D" w:rsidRPr="00FA7846">
        <w:rPr>
          <w:rStyle w:val="Strong"/>
          <w:rFonts w:ascii="Palatino Linotype" w:eastAsiaTheme="majorEastAsia" w:hAnsi="Palatino Linotype" w:cs="Arial"/>
          <w:b w:val="0"/>
          <w:bCs w:val="0"/>
          <w:color w:val="0A0A0A"/>
          <w:sz w:val="24"/>
          <w:szCs w:val="24"/>
        </w:rPr>
        <w:t xml:space="preserve">ask </w:t>
      </w:r>
      <w:r w:rsidR="00DD0B41">
        <w:rPr>
          <w:rStyle w:val="Strong"/>
          <w:rFonts w:ascii="Palatino Linotype" w:eastAsiaTheme="majorEastAsia" w:hAnsi="Palatino Linotype" w:cs="Arial"/>
          <w:b w:val="0"/>
          <w:bCs w:val="0"/>
          <w:color w:val="0A0A0A"/>
          <w:sz w:val="24"/>
          <w:szCs w:val="24"/>
        </w:rPr>
        <w:t>c</w:t>
      </w:r>
      <w:r w:rsidR="00E87B3D" w:rsidRPr="00FA7846">
        <w:rPr>
          <w:rStyle w:val="Strong"/>
          <w:rFonts w:ascii="Palatino Linotype" w:eastAsiaTheme="majorEastAsia" w:hAnsi="Palatino Linotype" w:cs="Arial"/>
          <w:b w:val="0"/>
          <w:bCs w:val="0"/>
          <w:color w:val="0A0A0A"/>
          <w:sz w:val="24"/>
          <w:szCs w:val="24"/>
        </w:rPr>
        <w:t>omplexity</w:t>
      </w:r>
      <w:r w:rsidR="00DD0B41" w:rsidRPr="00F63926">
        <w:rPr>
          <w:rStyle w:val="t286pc"/>
          <w:rFonts w:ascii="Palatino Linotype" w:eastAsiaTheme="majorEastAsia" w:hAnsi="Palatino Linotype" w:cs="Arial"/>
          <w:color w:val="0A0A0A"/>
          <w:sz w:val="24"/>
          <w:szCs w:val="24"/>
        </w:rPr>
        <w:t>, l</w:t>
      </w:r>
      <w:r w:rsidR="00E87B3D" w:rsidRPr="00B4778C">
        <w:rPr>
          <w:rStyle w:val="t286pc"/>
          <w:rFonts w:ascii="Palatino Linotype" w:eastAsiaTheme="majorEastAsia" w:hAnsi="Palatino Linotype" w:cs="Arial"/>
          <w:color w:val="0A0A0A"/>
          <w:sz w:val="24"/>
          <w:szCs w:val="24"/>
        </w:rPr>
        <w:t xml:space="preserve">atency and amplitude shifts due to task difficulty (e.g., </w:t>
      </w:r>
      <w:r w:rsidR="00DD0B41">
        <w:rPr>
          <w:rStyle w:val="t286pc"/>
          <w:rFonts w:ascii="Palatino Linotype" w:eastAsiaTheme="majorEastAsia" w:hAnsi="Palatino Linotype" w:cs="Arial"/>
          <w:color w:val="0A0A0A"/>
          <w:sz w:val="24"/>
          <w:szCs w:val="24"/>
        </w:rPr>
        <w:t>congruency vs incongruency</w:t>
      </w:r>
      <w:r w:rsidR="00E87B3D" w:rsidRPr="00B4778C">
        <w:rPr>
          <w:rStyle w:val="t286pc"/>
          <w:rFonts w:ascii="Palatino Linotype" w:eastAsiaTheme="majorEastAsia" w:hAnsi="Palatino Linotype" w:cs="Arial"/>
          <w:color w:val="0A0A0A"/>
          <w:sz w:val="24"/>
          <w:szCs w:val="24"/>
        </w:rPr>
        <w:t>) show strong effects, with P3</w:t>
      </w:r>
      <w:r w:rsidR="00FA7846">
        <w:rPr>
          <w:rStyle w:val="t286pc"/>
          <w:rFonts w:ascii="Palatino Linotype" w:eastAsiaTheme="majorEastAsia" w:hAnsi="Palatino Linotype" w:cs="Arial"/>
          <w:color w:val="0A0A0A"/>
        </w:rPr>
        <w:t>00</w:t>
      </w:r>
      <w:r w:rsidR="00E87B3D" w:rsidRPr="00B4778C">
        <w:rPr>
          <w:rStyle w:val="t286pc"/>
          <w:rFonts w:ascii="Palatino Linotype" w:eastAsiaTheme="majorEastAsia" w:hAnsi="Palatino Linotype" w:cs="Arial"/>
          <w:color w:val="0A0A0A"/>
          <w:sz w:val="24"/>
          <w:szCs w:val="24"/>
        </w:rPr>
        <w:t xml:space="preserve"> amplitude decreasing significantly as difficulty increases (</w:t>
      </w:r>
      <w:r w:rsidR="00F63926">
        <w:rPr>
          <w:rStyle w:val="t286pc"/>
          <w:rFonts w:ascii="Palatino Linotype" w:eastAsiaTheme="majorEastAsia" w:hAnsi="Palatino Linotype" w:cs="Arial"/>
          <w:color w:val="0A0A0A"/>
          <w:sz w:val="24"/>
          <w:szCs w:val="24"/>
        </w:rPr>
        <w:t>f(v) ≥ 1.20</w:t>
      </w:r>
      <w:r w:rsidR="00E87B3D" w:rsidRPr="00B4778C">
        <w:rPr>
          <w:rStyle w:val="t286pc"/>
          <w:rFonts w:ascii="Palatino Linotype" w:eastAsiaTheme="majorEastAsia" w:hAnsi="Palatino Linotype" w:cs="Arial"/>
          <w:color w:val="0A0A0A"/>
          <w:sz w:val="24"/>
          <w:szCs w:val="24"/>
        </w:rPr>
        <w:t>).</w:t>
      </w:r>
    </w:p>
    <w:p w14:paraId="2AA0A28B" w14:textId="44E1C36C" w:rsidR="00E87B3D" w:rsidRPr="00FA7846" w:rsidRDefault="00E87B3D" w:rsidP="00F63926">
      <w:pPr>
        <w:pStyle w:val="z1qcye"/>
        <w:shd w:val="clear" w:color="auto" w:fill="FFFFFF"/>
        <w:spacing w:before="0" w:beforeAutospacing="0" w:after="0" w:afterAutospacing="0" w:line="360" w:lineRule="atLeast"/>
        <w:rPr>
          <w:rFonts w:ascii="Palatino Linotype" w:hAnsi="Palatino Linotype" w:cs="Arial"/>
          <w:color w:val="0A0A0A"/>
          <w:shd w:val="clear" w:color="auto" w:fill="FFFFFF"/>
        </w:rPr>
      </w:pPr>
      <w:r w:rsidRPr="00B4778C">
        <w:rPr>
          <w:rStyle w:val="t286pc"/>
          <w:rFonts w:ascii="Palatino Linotype" w:eastAsiaTheme="majorEastAsia" w:hAnsi="Palatino Linotype" w:cs="Arial"/>
          <w:color w:val="0A0A0A"/>
        </w:rPr>
        <w:t>The ratio of Go to No-Go trials strongly modulates the No-Go P3</w:t>
      </w:r>
      <w:r w:rsidR="00FA7846">
        <w:rPr>
          <w:rStyle w:val="t286pc"/>
          <w:rFonts w:ascii="Palatino Linotype" w:eastAsiaTheme="majorEastAsia" w:hAnsi="Palatino Linotype" w:cs="Arial"/>
          <w:color w:val="0A0A0A"/>
        </w:rPr>
        <w:t>00</w:t>
      </w:r>
      <w:r w:rsidRPr="00B4778C">
        <w:rPr>
          <w:rStyle w:val="t286pc"/>
          <w:rFonts w:ascii="Palatino Linotype" w:eastAsiaTheme="majorEastAsia" w:hAnsi="Palatino Linotype" w:cs="Arial"/>
          <w:color w:val="0A0A0A"/>
        </w:rPr>
        <w:t>. Infrequent No-Go trials (e.g., 75% Go ratio) elicit much higher amplitudes</w:t>
      </w:r>
      <w:r w:rsidR="00F63926">
        <w:rPr>
          <w:rStyle w:val="t286pc"/>
          <w:rFonts w:ascii="Palatino Linotype" w:eastAsiaTheme="majorEastAsia" w:hAnsi="Palatino Linotype" w:cs="Arial"/>
          <w:color w:val="0A0A0A"/>
        </w:rPr>
        <w:t xml:space="preserve"> and effect sizes</w:t>
      </w:r>
      <w:r w:rsidRPr="00B4778C">
        <w:rPr>
          <w:rStyle w:val="t286pc"/>
          <w:rFonts w:ascii="Palatino Linotype" w:eastAsiaTheme="majorEastAsia" w:hAnsi="Palatino Linotype" w:cs="Arial"/>
          <w:color w:val="0A0A0A"/>
        </w:rPr>
        <w:t xml:space="preserve"> (</w:t>
      </w:r>
      <w:r w:rsidR="00F63926">
        <w:rPr>
          <w:rStyle w:val="t286pc"/>
          <w:rFonts w:ascii="Palatino Linotype" w:eastAsiaTheme="majorEastAsia" w:hAnsi="Palatino Linotype" w:cs="Arial"/>
          <w:color w:val="0A0A0A"/>
        </w:rPr>
        <w:t>0.72 &lt; f(v) &lt;</w:t>
      </w:r>
      <w:r w:rsidRPr="00B4778C">
        <w:rPr>
          <w:rFonts w:ascii="Palatino Linotype" w:eastAsiaTheme="majorEastAsia" w:hAnsi="Palatino Linotype"/>
        </w:rPr>
        <w:t xml:space="preserve"> </w:t>
      </w:r>
      <w:r w:rsidR="00F63926">
        <w:rPr>
          <w:rStyle w:val="t286pc"/>
          <w:rFonts w:ascii="Palatino Linotype" w:eastAsiaTheme="majorEastAsia" w:hAnsi="Palatino Linotype" w:cs="Arial"/>
          <w:color w:val="0A0A0A"/>
        </w:rPr>
        <w:t>1.05</w:t>
      </w:r>
      <w:r w:rsidRPr="00B4778C">
        <w:rPr>
          <w:rStyle w:val="t286pc"/>
          <w:rFonts w:ascii="Palatino Linotype" w:eastAsiaTheme="majorEastAsia" w:hAnsi="Palatino Linotype" w:cs="Arial"/>
          <w:color w:val="0A0A0A"/>
        </w:rPr>
        <w:t>) compared to more frequent No-Go trials.</w:t>
      </w:r>
      <w:r w:rsidR="00F63926">
        <w:rPr>
          <w:rStyle w:val="t286pc"/>
          <w:rFonts w:ascii="Palatino Linotype" w:eastAsiaTheme="majorEastAsia" w:hAnsi="Palatino Linotype" w:cs="Arial"/>
          <w:color w:val="0A0A0A"/>
        </w:rPr>
        <w:t xml:space="preserve"> </w:t>
      </w:r>
      <w:r w:rsidRPr="00FA7846">
        <w:rPr>
          <w:rFonts w:ascii="Palatino Linotype" w:hAnsi="Palatino Linotype" w:cs="Arial"/>
          <w:color w:val="0A0A0A"/>
          <w:shd w:val="clear" w:color="auto" w:fill="FFFFFF"/>
        </w:rPr>
        <w:t>Stimulus type also drives significant differences</w:t>
      </w:r>
      <w:r w:rsidR="00EE350F">
        <w:rPr>
          <w:rFonts w:ascii="Palatino Linotype" w:hAnsi="Palatino Linotype" w:cs="Arial"/>
          <w:color w:val="0A0A0A"/>
          <w:shd w:val="clear" w:color="auto" w:fill="FFFFFF"/>
        </w:rPr>
        <w:t>,</w:t>
      </w:r>
      <w:r w:rsidRPr="00FA7846">
        <w:rPr>
          <w:rFonts w:ascii="Palatino Linotype" w:hAnsi="Palatino Linotype" w:cs="Arial"/>
          <w:color w:val="0A0A0A"/>
          <w:shd w:val="clear" w:color="auto" w:fill="FFFFFF"/>
        </w:rPr>
        <w:t xml:space="preserve"> for instance, upright faces compared to inverted faces elicit larger No-Go P3</w:t>
      </w:r>
      <w:r w:rsidR="00FA7846">
        <w:rPr>
          <w:rFonts w:ascii="Palatino Linotype" w:hAnsi="Palatino Linotype" w:cs="Arial"/>
          <w:color w:val="0A0A0A"/>
          <w:shd w:val="clear" w:color="auto" w:fill="FFFFFF"/>
        </w:rPr>
        <w:t>00</w:t>
      </w:r>
      <w:r w:rsidRPr="00FA7846">
        <w:rPr>
          <w:rFonts w:ascii="Palatino Linotype" w:hAnsi="Palatino Linotype" w:cs="Arial"/>
          <w:color w:val="0A0A0A"/>
          <w:shd w:val="clear" w:color="auto" w:fill="FFFFFF"/>
        </w:rPr>
        <w:t xml:space="preserve"> amplitudes with an effect size of </w:t>
      </w:r>
      <w:r w:rsidR="00F63926">
        <w:rPr>
          <w:rFonts w:ascii="Palatino Linotype" w:hAnsi="Palatino Linotype" w:cs="Arial"/>
          <w:color w:val="0A0A0A"/>
          <w:shd w:val="clear" w:color="auto" w:fill="FFFFFF"/>
        </w:rPr>
        <w:t xml:space="preserve">f(v) ~ </w:t>
      </w:r>
      <w:r w:rsidRPr="00FA7846">
        <w:rPr>
          <w:rFonts w:ascii="Palatino Linotype" w:hAnsi="Palatino Linotype" w:cs="Arial"/>
          <w:color w:val="0A0A0A"/>
          <w:shd w:val="clear" w:color="auto" w:fill="FFFFFF"/>
        </w:rPr>
        <w:t>0.</w:t>
      </w:r>
      <w:r w:rsidR="00F63926">
        <w:rPr>
          <w:rFonts w:ascii="Palatino Linotype" w:hAnsi="Palatino Linotype" w:cs="Arial"/>
          <w:color w:val="0A0A0A"/>
          <w:shd w:val="clear" w:color="auto" w:fill="FFFFFF"/>
        </w:rPr>
        <w:t>24</w:t>
      </w:r>
      <w:r w:rsidRPr="00FA7846">
        <w:rPr>
          <w:rFonts w:ascii="Palatino Linotype" w:hAnsi="Palatino Linotype" w:cs="Arial"/>
          <w:color w:val="0A0A0A"/>
          <w:shd w:val="clear" w:color="auto" w:fill="FFFFFF"/>
        </w:rPr>
        <w:t>.</w:t>
      </w:r>
      <w:r w:rsidR="00782362">
        <w:rPr>
          <w:rFonts w:ascii="Palatino Linotype" w:hAnsi="Palatino Linotype" w:cs="Arial"/>
          <w:color w:val="0A0A0A"/>
          <w:shd w:val="clear" w:color="auto" w:fill="FFFFFF"/>
        </w:rPr>
        <w:t xml:space="preserve"> The omnibus median of all </w:t>
      </w:r>
      <w:r w:rsidR="000379AB">
        <w:rPr>
          <w:rFonts w:ascii="Palatino Linotype" w:hAnsi="Palatino Linotype" w:cs="Arial"/>
          <w:color w:val="0A0A0A"/>
          <w:shd w:val="clear" w:color="auto" w:fill="FFFFFF"/>
        </w:rPr>
        <w:t xml:space="preserve">presently </w:t>
      </w:r>
      <w:r w:rsidR="00EA3315">
        <w:rPr>
          <w:rFonts w:ascii="Palatino Linotype" w:hAnsi="Palatino Linotype" w:cs="Arial"/>
          <w:color w:val="0A0A0A"/>
          <w:shd w:val="clear" w:color="auto" w:fill="FFFFFF"/>
        </w:rPr>
        <w:t>surveyed</w:t>
      </w:r>
      <w:r w:rsidR="00782362">
        <w:rPr>
          <w:rFonts w:ascii="Palatino Linotype" w:hAnsi="Palatino Linotype" w:cs="Arial"/>
          <w:color w:val="0A0A0A"/>
          <w:shd w:val="clear" w:color="auto" w:fill="FFFFFF"/>
        </w:rPr>
        <w:t xml:space="preserve"> effects </w:t>
      </w:r>
      <w:r w:rsidR="000379AB">
        <w:rPr>
          <w:rFonts w:ascii="Palatino Linotype" w:hAnsi="Palatino Linotype" w:cs="Arial"/>
          <w:color w:val="0A0A0A"/>
          <w:shd w:val="clear" w:color="auto" w:fill="FFFFFF"/>
        </w:rPr>
        <w:t>wa</w:t>
      </w:r>
      <w:r w:rsidR="00782362">
        <w:rPr>
          <w:rFonts w:ascii="Palatino Linotype" w:hAnsi="Palatino Linotype" w:cs="Arial"/>
          <w:color w:val="0A0A0A"/>
          <w:shd w:val="clear" w:color="auto" w:fill="FFFFFF"/>
        </w:rPr>
        <w:t>s approximately f(v) ~</w:t>
      </w:r>
      <w:r w:rsidR="00EA3315">
        <w:rPr>
          <w:rFonts w:ascii="Palatino Linotype" w:hAnsi="Palatino Linotype" w:cs="Arial"/>
          <w:color w:val="0A0A0A"/>
          <w:shd w:val="clear" w:color="auto" w:fill="FFFFFF"/>
        </w:rPr>
        <w:t xml:space="preserve"> 1.20, 99%CI: 0.27, 2.01.</w:t>
      </w:r>
    </w:p>
    <w:p w14:paraId="42DBC30F" w14:textId="77777777" w:rsidR="00AF6833" w:rsidRPr="00AF6833" w:rsidRDefault="00AF6833" w:rsidP="00AF6833">
      <w:pPr>
        <w:spacing w:after="0" w:line="240" w:lineRule="auto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en-CA"/>
          <w14:ligatures w14:val="none"/>
        </w:rPr>
      </w:pPr>
      <w:r w:rsidRPr="00AF6833">
        <w:rPr>
          <w:rFonts w:ascii="Arial" w:eastAsia="Times New Roman" w:hAnsi="Arial" w:cs="Arial"/>
          <w:b/>
          <w:bCs/>
          <w:color w:val="0A0A0A"/>
          <w:kern w:val="0"/>
          <w:sz w:val="28"/>
          <w:szCs w:val="28"/>
          <w:shd w:val="clear" w:color="auto" w:fill="FFFFFF"/>
          <w:lang w:eastAsia="en-CA"/>
          <w14:ligatures w14:val="none"/>
        </w:rPr>
        <w:drawing>
          <wp:inline distT="0" distB="0" distL="0" distR="0" wp14:anchorId="6706C17A" wp14:editId="09394E86">
            <wp:extent cx="11430" cy="11430"/>
            <wp:effectExtent l="0" t="0" r="0" b="0"/>
            <wp:docPr id="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7E51A" w14:textId="460BD5EB" w:rsidR="00931E90" w:rsidRDefault="00AF6833" w:rsidP="001D13A7">
      <w:pPr>
        <w:spacing w:after="0" w:line="240" w:lineRule="auto"/>
        <w:rPr>
          <w:rFonts w:ascii="Arial" w:eastAsia="Times New Roman" w:hAnsi="Arial" w:cs="Arial"/>
          <w:noProof w:val="0"/>
          <w:color w:val="333333"/>
          <w:kern w:val="0"/>
          <w:sz w:val="21"/>
          <w:szCs w:val="21"/>
          <w:lang w:eastAsia="en-CA"/>
          <w14:ligatures w14:val="none"/>
        </w:rPr>
      </w:pPr>
      <w:r w:rsidRPr="00AF6833">
        <w:rPr>
          <w:rFonts w:ascii="Arial" w:eastAsia="Times New Roman" w:hAnsi="Arial" w:cs="Arial"/>
          <w:b/>
          <w:bCs/>
          <w:color w:val="0A0A0A"/>
          <w:kern w:val="0"/>
          <w:sz w:val="28"/>
          <w:szCs w:val="28"/>
          <w:shd w:val="clear" w:color="auto" w:fill="FFFFFF"/>
          <w:lang w:eastAsia="en-CA"/>
          <w14:ligatures w14:val="none"/>
        </w:rPr>
        <w:drawing>
          <wp:anchor distT="0" distB="0" distL="114300" distR="114300" simplePos="0" relativeHeight="251658240" behindDoc="0" locked="0" layoutInCell="1" allowOverlap="1" wp14:anchorId="76861F0D" wp14:editId="47889873">
            <wp:simplePos x="914400" y="7341870"/>
            <wp:positionH relativeFrom="column">
              <wp:align>left</wp:align>
            </wp:positionH>
            <wp:positionV relativeFrom="paragraph">
              <wp:align>top</wp:align>
            </wp:positionV>
            <wp:extent cx="11430" cy="11430"/>
            <wp:effectExtent l="0" t="0" r="0" b="0"/>
            <wp:wrapSquare wrapText="bothSides"/>
            <wp:docPr id="1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2EE185" w14:textId="77777777" w:rsidR="00931E90" w:rsidRDefault="00931E90" w:rsidP="00E52219">
      <w:pPr>
        <w:shd w:val="clear" w:color="auto" w:fill="FFFFFF"/>
        <w:spacing w:after="0" w:line="240" w:lineRule="auto"/>
        <w:rPr>
          <w:rFonts w:ascii="Arial" w:eastAsia="Times New Roman" w:hAnsi="Arial" w:cs="Arial"/>
          <w:noProof w:val="0"/>
          <w:color w:val="333333"/>
          <w:kern w:val="0"/>
          <w:sz w:val="21"/>
          <w:szCs w:val="21"/>
          <w:lang w:eastAsia="en-CA"/>
          <w14:ligatures w14:val="none"/>
        </w:rPr>
      </w:pPr>
    </w:p>
    <w:p w14:paraId="4A89DB57" w14:textId="04D77F19" w:rsidR="00B4778C" w:rsidRPr="00BB763A" w:rsidRDefault="00BB763A" w:rsidP="00B4778C">
      <w:pPr>
        <w:shd w:val="clear" w:color="auto" w:fill="FFFFFF"/>
        <w:spacing w:after="0" w:line="240" w:lineRule="auto"/>
        <w:rPr>
          <w:rFonts w:ascii="Palatino Linotype" w:hAnsi="Palatino Linotype" w:cs="Segoe UI"/>
          <w:b/>
          <w:bCs/>
          <w:color w:val="212121"/>
          <w:sz w:val="24"/>
          <w:szCs w:val="24"/>
          <w:shd w:val="clear" w:color="auto" w:fill="FFFFFF"/>
        </w:rPr>
      </w:pPr>
      <w:r w:rsidRPr="00BB763A">
        <w:rPr>
          <w:rFonts w:ascii="Palatino Linotype" w:hAnsi="Palatino Linotype" w:cs="Segoe UI"/>
          <w:b/>
          <w:bCs/>
          <w:color w:val="212121"/>
          <w:sz w:val="24"/>
          <w:szCs w:val="24"/>
          <w:shd w:val="clear" w:color="auto" w:fill="FFFFFF"/>
        </w:rPr>
        <w:t>References</w:t>
      </w:r>
    </w:p>
    <w:p w14:paraId="6306DF3B" w14:textId="77777777" w:rsidR="00BB763A" w:rsidRPr="00B4778C" w:rsidRDefault="00BB763A" w:rsidP="00B4778C">
      <w:pPr>
        <w:shd w:val="clear" w:color="auto" w:fill="FFFFFF"/>
        <w:spacing w:after="0" w:line="240" w:lineRule="auto"/>
        <w:rPr>
          <w:rFonts w:ascii="Palatino Linotype" w:hAnsi="Palatino Linotype" w:cs="Segoe UI"/>
          <w:color w:val="212121"/>
          <w:sz w:val="24"/>
          <w:szCs w:val="24"/>
          <w:shd w:val="clear" w:color="auto" w:fill="FFFFFF"/>
        </w:rPr>
      </w:pPr>
    </w:p>
    <w:p w14:paraId="79D9E42A" w14:textId="36B21197" w:rsidR="00E52219" w:rsidRPr="00B4778C" w:rsidRDefault="00E52219">
      <w:pPr>
        <w:rPr>
          <w:rFonts w:ascii="Palatino Linotype" w:hAnsi="Palatino Linotype" w:cs="Segoe UI"/>
          <w:color w:val="212121"/>
          <w:sz w:val="24"/>
          <w:szCs w:val="24"/>
          <w:shd w:val="clear" w:color="auto" w:fill="FFFFFF"/>
          <w:lang w:val="it-IT"/>
        </w:rPr>
      </w:pPr>
      <w:r w:rsidRPr="00B4778C">
        <w:rPr>
          <w:rFonts w:ascii="Palatino Linotype" w:hAnsi="Palatino Linotype" w:cs="Arial"/>
          <w:color w:val="222222"/>
          <w:sz w:val="24"/>
          <w:szCs w:val="24"/>
          <w:shd w:val="clear" w:color="auto" w:fill="FFFFFF"/>
        </w:rPr>
        <w:t>Beringer, M., Wacker, J., &amp; Recio, G. (2022). Deliberate control of facial expressions in a go/no-go task: An ERP study. </w:t>
      </w:r>
      <w:r w:rsidRPr="00B4778C">
        <w:rPr>
          <w:rFonts w:ascii="Palatino Linotype" w:hAnsi="Palatino Linotype" w:cs="Arial"/>
          <w:i/>
          <w:iCs/>
          <w:color w:val="222222"/>
          <w:sz w:val="24"/>
          <w:szCs w:val="24"/>
          <w:shd w:val="clear" w:color="auto" w:fill="FFFFFF"/>
          <w:lang w:val="it-IT"/>
        </w:rPr>
        <w:t>Acta Psychologica</w:t>
      </w:r>
      <w:r w:rsidRPr="00B4778C">
        <w:rPr>
          <w:rFonts w:ascii="Palatino Linotype" w:hAnsi="Palatino Linotype" w:cs="Arial"/>
          <w:color w:val="222222"/>
          <w:sz w:val="24"/>
          <w:szCs w:val="24"/>
          <w:shd w:val="clear" w:color="auto" w:fill="FFFFFF"/>
          <w:lang w:val="it-IT"/>
        </w:rPr>
        <w:t>, </w:t>
      </w:r>
      <w:r w:rsidRPr="00B4778C">
        <w:rPr>
          <w:rFonts w:ascii="Palatino Linotype" w:hAnsi="Palatino Linotype" w:cs="Arial"/>
          <w:i/>
          <w:iCs/>
          <w:color w:val="222222"/>
          <w:sz w:val="24"/>
          <w:szCs w:val="24"/>
          <w:shd w:val="clear" w:color="auto" w:fill="FFFFFF"/>
          <w:lang w:val="it-IT"/>
        </w:rPr>
        <w:t>230</w:t>
      </w:r>
      <w:r w:rsidRPr="00B4778C">
        <w:rPr>
          <w:rFonts w:ascii="Palatino Linotype" w:hAnsi="Palatino Linotype" w:cs="Arial"/>
          <w:color w:val="222222"/>
          <w:sz w:val="24"/>
          <w:szCs w:val="24"/>
          <w:shd w:val="clear" w:color="auto" w:fill="FFFFFF"/>
          <w:lang w:val="it-IT"/>
        </w:rPr>
        <w:t>, 103773.</w:t>
      </w:r>
    </w:p>
    <w:p w14:paraId="0D00556A" w14:textId="13067597" w:rsidR="00E52219" w:rsidRDefault="00E52219">
      <w:pPr>
        <w:rPr>
          <w:rFonts w:ascii="Palatino Linotype" w:hAnsi="Palatino Linotype"/>
          <w:sz w:val="24"/>
          <w:szCs w:val="24"/>
        </w:rPr>
      </w:pPr>
      <w:r w:rsidRPr="00B4778C">
        <w:rPr>
          <w:rFonts w:ascii="Palatino Linotype" w:hAnsi="Palatino Linotype" w:cs="Segoe UI"/>
          <w:color w:val="212121"/>
          <w:sz w:val="24"/>
          <w:szCs w:val="24"/>
          <w:shd w:val="clear" w:color="auto" w:fill="FFFFFF"/>
          <w:lang w:val="it-IT"/>
        </w:rPr>
        <w:lastRenderedPageBreak/>
        <w:t xml:space="preserve">Cheng, C. H., Tsai, H. Y., &amp; Cheng, H. N. (2019). </w:t>
      </w:r>
      <w:r w:rsidRPr="00B4778C">
        <w:rPr>
          <w:rFonts w:ascii="Palatino Linotype" w:hAnsi="Palatino Linotype" w:cs="Segoe UI"/>
          <w:color w:val="212121"/>
          <w:sz w:val="24"/>
          <w:szCs w:val="24"/>
          <w:shd w:val="clear" w:color="auto" w:fill="FFFFFF"/>
        </w:rPr>
        <w:t>The effect of age on N2 and P3 components: A meta-analysis of Go/Nogo tasks. </w:t>
      </w:r>
      <w:r w:rsidRPr="00B4778C">
        <w:rPr>
          <w:rFonts w:ascii="Palatino Linotype" w:hAnsi="Palatino Linotype" w:cs="Segoe UI"/>
          <w:i/>
          <w:iCs/>
          <w:color w:val="212121"/>
          <w:sz w:val="24"/>
          <w:szCs w:val="24"/>
          <w:shd w:val="clear" w:color="auto" w:fill="FFFFFF"/>
        </w:rPr>
        <w:t>Brain and cognition</w:t>
      </w:r>
      <w:r w:rsidRPr="00B4778C">
        <w:rPr>
          <w:rFonts w:ascii="Palatino Linotype" w:hAnsi="Palatino Linotype" w:cs="Segoe UI"/>
          <w:color w:val="212121"/>
          <w:sz w:val="24"/>
          <w:szCs w:val="24"/>
          <w:shd w:val="clear" w:color="auto" w:fill="FFFFFF"/>
        </w:rPr>
        <w:t>, </w:t>
      </w:r>
      <w:r w:rsidRPr="00B4778C">
        <w:rPr>
          <w:rFonts w:ascii="Palatino Linotype" w:hAnsi="Palatino Linotype" w:cs="Segoe UI"/>
          <w:i/>
          <w:iCs/>
          <w:color w:val="212121"/>
          <w:sz w:val="24"/>
          <w:szCs w:val="24"/>
          <w:shd w:val="clear" w:color="auto" w:fill="FFFFFF"/>
        </w:rPr>
        <w:t>135</w:t>
      </w:r>
      <w:r w:rsidRPr="00B4778C">
        <w:rPr>
          <w:rFonts w:ascii="Palatino Linotype" w:hAnsi="Palatino Linotype" w:cs="Segoe UI"/>
          <w:color w:val="212121"/>
          <w:sz w:val="24"/>
          <w:szCs w:val="24"/>
          <w:shd w:val="clear" w:color="auto" w:fill="FFFFFF"/>
        </w:rPr>
        <w:t xml:space="preserve">, 103574. </w:t>
      </w:r>
      <w:hyperlink r:id="rId7" w:history="1">
        <w:r w:rsidRPr="00B4778C">
          <w:rPr>
            <w:rStyle w:val="Hyperlink"/>
            <w:rFonts w:ascii="Palatino Linotype" w:hAnsi="Palatino Linotype" w:cs="Segoe UI"/>
            <w:sz w:val="24"/>
            <w:szCs w:val="24"/>
            <w:shd w:val="clear" w:color="auto" w:fill="FFFFFF"/>
          </w:rPr>
          <w:t>https://doi.org/10.1016/j.bandc.2019.05.012</w:t>
        </w:r>
      </w:hyperlink>
    </w:p>
    <w:p w14:paraId="001CB276" w14:textId="77777777" w:rsidR="00B4778C" w:rsidRPr="00B4778C" w:rsidRDefault="00B4778C" w:rsidP="00B4778C">
      <w:pPr>
        <w:rPr>
          <w:rFonts w:ascii="Palatino Linotype" w:hAnsi="Palatino Linotype"/>
          <w:color w:val="1B1B1B"/>
          <w:sz w:val="24"/>
          <w:szCs w:val="24"/>
          <w:shd w:val="clear" w:color="auto" w:fill="FFFFFF"/>
        </w:rPr>
      </w:pPr>
      <w:r w:rsidRPr="00B4778C">
        <w:rPr>
          <w:rFonts w:ascii="Palatino Linotype" w:hAnsi="Palatino Linotype"/>
          <w:color w:val="1B1B1B"/>
          <w:sz w:val="24"/>
          <w:szCs w:val="24"/>
          <w:shd w:val="clear" w:color="auto" w:fill="FFFFFF"/>
        </w:rPr>
        <w:t>Chen, Y., Yu, H., &amp; Gao, X. (2022). Influences of Emotional Information on Response Inhibition in Gaming Disorder: Behavioral and ERP Evidence from Go/Nogo Task. </w:t>
      </w:r>
      <w:r w:rsidRPr="00B4778C">
        <w:rPr>
          <w:rFonts w:ascii="Palatino Linotype" w:hAnsi="Palatino Linotype"/>
          <w:i/>
          <w:iCs/>
          <w:color w:val="1B1B1B"/>
          <w:sz w:val="24"/>
          <w:szCs w:val="24"/>
          <w:shd w:val="clear" w:color="auto" w:fill="FFFFFF"/>
        </w:rPr>
        <w:t>International journal of environmental research and public health</w:t>
      </w:r>
      <w:r w:rsidRPr="00B4778C">
        <w:rPr>
          <w:rFonts w:ascii="Palatino Linotype" w:hAnsi="Palatino Linotype"/>
          <w:color w:val="1B1B1B"/>
          <w:sz w:val="24"/>
          <w:szCs w:val="24"/>
          <w:shd w:val="clear" w:color="auto" w:fill="FFFFFF"/>
        </w:rPr>
        <w:t>, </w:t>
      </w:r>
      <w:r w:rsidRPr="00B4778C">
        <w:rPr>
          <w:rFonts w:ascii="Palatino Linotype" w:hAnsi="Palatino Linotype"/>
          <w:i/>
          <w:iCs/>
          <w:color w:val="1B1B1B"/>
          <w:sz w:val="24"/>
          <w:szCs w:val="24"/>
          <w:shd w:val="clear" w:color="auto" w:fill="FFFFFF"/>
        </w:rPr>
        <w:t>19</w:t>
      </w:r>
      <w:r w:rsidRPr="00B4778C">
        <w:rPr>
          <w:rFonts w:ascii="Palatino Linotype" w:hAnsi="Palatino Linotype"/>
          <w:color w:val="1B1B1B"/>
          <w:sz w:val="24"/>
          <w:szCs w:val="24"/>
          <w:shd w:val="clear" w:color="auto" w:fill="FFFFFF"/>
        </w:rPr>
        <w:t xml:space="preserve">(23), 16264. </w:t>
      </w:r>
      <w:hyperlink r:id="rId8" w:history="1">
        <w:r w:rsidRPr="00B4778C">
          <w:rPr>
            <w:rStyle w:val="Hyperlink"/>
            <w:rFonts w:ascii="Palatino Linotype" w:hAnsi="Palatino Linotype"/>
            <w:sz w:val="24"/>
            <w:szCs w:val="24"/>
            <w:shd w:val="clear" w:color="auto" w:fill="FFFFFF"/>
          </w:rPr>
          <w:t>https://doi.org/10.3390/ijerph192316264</w:t>
        </w:r>
      </w:hyperlink>
    </w:p>
    <w:p w14:paraId="0C0F3825" w14:textId="3510E74A" w:rsidR="00B4778C" w:rsidRDefault="00B4778C" w:rsidP="00B4778C">
      <w:pPr>
        <w:shd w:val="clear" w:color="auto" w:fill="FFFFFF"/>
        <w:spacing w:after="0" w:line="240" w:lineRule="auto"/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shd w:val="clear" w:color="auto" w:fill="FFFFFF"/>
          <w:lang w:eastAsia="en-CA"/>
          <w14:ligatures w14:val="none"/>
        </w:rPr>
      </w:pPr>
      <w:proofErr w:type="spellStart"/>
      <w:r w:rsidRPr="00B4778C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Huibin</w:t>
      </w:r>
      <w:proofErr w:type="spellEnd"/>
      <w:r w:rsidRPr="00B4778C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 Jia, </w:t>
      </w:r>
      <w:proofErr w:type="spellStart"/>
      <w:r w:rsidRPr="00B4778C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Huayun</w:t>
      </w:r>
      <w:proofErr w:type="spellEnd"/>
      <w:r w:rsidRPr="00B4778C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 Li, and </w:t>
      </w:r>
      <w:proofErr w:type="spellStart"/>
      <w:r w:rsidRPr="00B4778C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>Dongchuan</w:t>
      </w:r>
      <w:proofErr w:type="spellEnd"/>
      <w:r w:rsidRPr="00B4778C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lang w:eastAsia="en-CA"/>
          <w14:ligatures w14:val="none"/>
        </w:rPr>
        <w:t xml:space="preserve"> Yu</w:t>
      </w:r>
      <w:hyperlink r:id="rId9" w:history="1">
        <w:r>
          <w:rPr>
            <w:rFonts w:ascii="Palatino Linotype" w:eastAsia="Times New Roman" w:hAnsi="Palatino Linotype" w:cs="Arial"/>
            <w:noProof w:val="0"/>
            <w:color w:val="000000"/>
            <w:kern w:val="0"/>
            <w:sz w:val="24"/>
            <w:szCs w:val="24"/>
            <w:lang w:eastAsia="en-CA"/>
            <w14:ligatures w14:val="none"/>
          </w:rPr>
          <w:t xml:space="preserve"> (</w:t>
        </w:r>
        <w:r w:rsidRPr="00B4778C">
          <w:rPr>
            <w:rFonts w:ascii="Palatino Linotype" w:eastAsia="Times New Roman" w:hAnsi="Palatino Linotype" w:cs="Arial"/>
            <w:noProof w:val="0"/>
            <w:color w:val="333333"/>
            <w:kern w:val="0"/>
            <w:sz w:val="24"/>
            <w:szCs w:val="24"/>
            <w:shd w:val="clear" w:color="auto" w:fill="FFFFFF"/>
            <w:lang w:eastAsia="en-CA"/>
            <w14:ligatures w14:val="none"/>
          </w:rPr>
          <w:t>2017</w:t>
        </w:r>
        <w:r>
          <w:rPr>
            <w:rFonts w:ascii="Palatino Linotype" w:eastAsia="Times New Roman" w:hAnsi="Palatino Linotype" w:cs="Arial"/>
            <w:noProof w:val="0"/>
            <w:color w:val="333333"/>
            <w:kern w:val="0"/>
            <w:sz w:val="24"/>
            <w:szCs w:val="24"/>
            <w:shd w:val="clear" w:color="auto" w:fill="FFFFFF"/>
            <w:lang w:eastAsia="en-CA"/>
            <w14:ligatures w14:val="none"/>
          </w:rPr>
          <w:t>). The</w:t>
        </w:r>
        <w:r w:rsidRPr="00B4778C">
          <w:rPr>
            <w:rFonts w:ascii="Palatino Linotype" w:eastAsia="Times New Roman" w:hAnsi="Palatino Linotype" w:cs="Arial"/>
            <w:noProof w:val="0"/>
            <w:color w:val="333333"/>
            <w:kern w:val="0"/>
            <w:sz w:val="24"/>
            <w:szCs w:val="24"/>
            <w:shd w:val="clear" w:color="auto" w:fill="FFFFFF"/>
            <w:lang w:eastAsia="en-CA"/>
            <w14:ligatures w14:val="none"/>
          </w:rPr>
          <w:t> </w:t>
        </w:r>
        <w:r w:rsidRPr="00B4778C">
          <w:rPr>
            <w:rFonts w:ascii="Palatino Linotype" w:eastAsia="Times New Roman" w:hAnsi="Palatino Linotype" w:cs="Arial"/>
            <w:noProof w:val="0"/>
            <w:color w:val="000000"/>
            <w:kern w:val="0"/>
            <w:sz w:val="24"/>
            <w:szCs w:val="24"/>
            <w:lang w:eastAsia="en-CA"/>
            <w14:ligatures w14:val="none"/>
          </w:rPr>
          <w:t>relationship between ERP components and EEG spatial complexity in a visual Go/</w:t>
        </w:r>
        <w:proofErr w:type="spellStart"/>
        <w:r w:rsidRPr="00B4778C">
          <w:rPr>
            <w:rFonts w:ascii="Palatino Linotype" w:eastAsia="Times New Roman" w:hAnsi="Palatino Linotype" w:cs="Arial"/>
            <w:noProof w:val="0"/>
            <w:color w:val="000000"/>
            <w:kern w:val="0"/>
            <w:sz w:val="24"/>
            <w:szCs w:val="24"/>
            <w:lang w:eastAsia="en-CA"/>
            <w14:ligatures w14:val="none"/>
          </w:rPr>
          <w:t>Nogo</w:t>
        </w:r>
        <w:proofErr w:type="spellEnd"/>
        <w:r w:rsidRPr="00B4778C">
          <w:rPr>
            <w:rFonts w:ascii="Palatino Linotype" w:eastAsia="Times New Roman" w:hAnsi="Palatino Linotype" w:cs="Arial"/>
            <w:noProof w:val="0"/>
            <w:color w:val="000000"/>
            <w:kern w:val="0"/>
            <w:sz w:val="24"/>
            <w:szCs w:val="24"/>
            <w:lang w:eastAsia="en-CA"/>
            <w14:ligatures w14:val="none"/>
          </w:rPr>
          <w:t xml:space="preserve"> task</w:t>
        </w:r>
      </w:hyperlink>
      <w:r>
        <w:rPr>
          <w:rFonts w:ascii="Palatino Linotype" w:hAnsi="Palatino Linotype"/>
          <w:sz w:val="24"/>
          <w:szCs w:val="24"/>
        </w:rPr>
        <w:t xml:space="preserve">. </w:t>
      </w:r>
      <w:r w:rsidRPr="00B4778C"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shd w:val="clear" w:color="auto" w:fill="FFFFFF"/>
          <w:lang w:eastAsia="en-CA"/>
          <w14:ligatures w14:val="none"/>
        </w:rPr>
        <w:t>Journal of Neurophysiology 117:1, 275-283</w:t>
      </w:r>
    </w:p>
    <w:p w14:paraId="50C7F764" w14:textId="77777777" w:rsidR="00B4778C" w:rsidRDefault="00B4778C" w:rsidP="00B4778C">
      <w:pPr>
        <w:shd w:val="clear" w:color="auto" w:fill="FFFFFF"/>
        <w:spacing w:after="0" w:line="240" w:lineRule="auto"/>
        <w:rPr>
          <w:rFonts w:ascii="Palatino Linotype" w:eastAsia="Times New Roman" w:hAnsi="Palatino Linotype" w:cs="Arial"/>
          <w:noProof w:val="0"/>
          <w:color w:val="333333"/>
          <w:kern w:val="0"/>
          <w:sz w:val="24"/>
          <w:szCs w:val="24"/>
          <w:shd w:val="clear" w:color="auto" w:fill="FFFFFF"/>
          <w:lang w:eastAsia="en-CA"/>
          <w14:ligatures w14:val="none"/>
        </w:rPr>
      </w:pPr>
    </w:p>
    <w:p w14:paraId="6CC2A6C9" w14:textId="77777777" w:rsidR="00B4778C" w:rsidRPr="00B4778C" w:rsidRDefault="00B4778C" w:rsidP="00B4778C">
      <w:pPr>
        <w:rPr>
          <w:rFonts w:ascii="Palatino Linotype" w:hAnsi="Palatino Linotype" w:cs="Arial"/>
          <w:color w:val="222222"/>
          <w:sz w:val="24"/>
          <w:szCs w:val="24"/>
          <w:shd w:val="clear" w:color="auto" w:fill="FFFFFF"/>
        </w:rPr>
      </w:pPr>
      <w:r w:rsidRPr="00B4778C">
        <w:rPr>
          <w:rFonts w:ascii="Palatino Linotype" w:hAnsi="Palatino Linotype" w:cs="Arial"/>
          <w:color w:val="222222"/>
          <w:sz w:val="24"/>
          <w:szCs w:val="24"/>
          <w:shd w:val="clear" w:color="auto" w:fill="FFFFFF"/>
        </w:rPr>
        <w:t>Pekár, J., Hofmann, W., Knakker, B., Tamm, S., &amp; Kinder, A. (2023). Electrophysiological Correlates of the Interaction of Physical and Numerical Size in Symbolic Number Processing: Insights from a Novel Go/Nogo Numerical Stroop Task. </w:t>
      </w:r>
      <w:r w:rsidRPr="00B4778C">
        <w:rPr>
          <w:rStyle w:val="Emphasis"/>
          <w:rFonts w:ascii="Palatino Linotype" w:hAnsi="Palatino Linotype" w:cs="Arial"/>
          <w:color w:val="222222"/>
          <w:sz w:val="24"/>
          <w:szCs w:val="24"/>
          <w:shd w:val="clear" w:color="auto" w:fill="FFFFFF"/>
        </w:rPr>
        <w:t>Brain Sciences</w:t>
      </w:r>
      <w:r w:rsidRPr="00B4778C">
        <w:rPr>
          <w:rFonts w:ascii="Palatino Linotype" w:hAnsi="Palatino Linotype" w:cs="Arial"/>
          <w:color w:val="222222"/>
          <w:sz w:val="24"/>
          <w:szCs w:val="24"/>
          <w:shd w:val="clear" w:color="auto" w:fill="FFFFFF"/>
        </w:rPr>
        <w:t>, </w:t>
      </w:r>
      <w:r w:rsidRPr="00B4778C">
        <w:rPr>
          <w:rStyle w:val="Emphasis"/>
          <w:rFonts w:ascii="Palatino Linotype" w:hAnsi="Palatino Linotype" w:cs="Arial"/>
          <w:color w:val="222222"/>
          <w:sz w:val="24"/>
          <w:szCs w:val="24"/>
          <w:shd w:val="clear" w:color="auto" w:fill="FFFFFF"/>
        </w:rPr>
        <w:t>13</w:t>
      </w:r>
      <w:r w:rsidRPr="00B4778C">
        <w:rPr>
          <w:rFonts w:ascii="Palatino Linotype" w:hAnsi="Palatino Linotype" w:cs="Arial"/>
          <w:color w:val="222222"/>
          <w:sz w:val="24"/>
          <w:szCs w:val="24"/>
          <w:shd w:val="clear" w:color="auto" w:fill="FFFFFF"/>
        </w:rPr>
        <w:t xml:space="preserve">(5), 702. </w:t>
      </w:r>
      <w:hyperlink r:id="rId10" w:history="1">
        <w:r w:rsidRPr="00B4778C">
          <w:rPr>
            <w:rStyle w:val="Hyperlink"/>
            <w:rFonts w:ascii="Palatino Linotype" w:hAnsi="Palatino Linotype" w:cs="Arial"/>
            <w:sz w:val="24"/>
            <w:szCs w:val="24"/>
            <w:shd w:val="clear" w:color="auto" w:fill="FFFFFF"/>
          </w:rPr>
          <w:t>https://doi.org/10.3390/brainsci13050702</w:t>
        </w:r>
      </w:hyperlink>
    </w:p>
    <w:p w14:paraId="42382EE4" w14:textId="77777777" w:rsidR="00B4778C" w:rsidRPr="00B4778C" w:rsidRDefault="00B4778C" w:rsidP="00B4778C">
      <w:pPr>
        <w:rPr>
          <w:rFonts w:ascii="Palatino Linotype" w:hAnsi="Palatino Linotype"/>
          <w:sz w:val="24"/>
          <w:szCs w:val="24"/>
        </w:rPr>
      </w:pPr>
      <w:r w:rsidRPr="00B4778C">
        <w:rPr>
          <w:rFonts w:ascii="Palatino Linotype" w:hAnsi="Palatino Linotype"/>
          <w:sz w:val="24"/>
          <w:szCs w:val="24"/>
        </w:rPr>
        <w:t>Pihlaja M, Failla L, Peräkylä J and Hartikainen KM (2020) Reduced Frontal Nogo-N2 With Uncompromised Response Inhibition During Transcutaneous Vagus Nerve Stimulation—More Efficient Cognitive Control?. Front. Hum. Neurosci. 14:561780. doi: 10.3389/fnhum.2020.561780</w:t>
      </w:r>
    </w:p>
    <w:p w14:paraId="3D24C37A" w14:textId="77777777" w:rsidR="00B4778C" w:rsidRPr="00B4778C" w:rsidRDefault="00B4778C" w:rsidP="00B4778C">
      <w:pPr>
        <w:rPr>
          <w:rFonts w:ascii="Palatino Linotype" w:hAnsi="Palatino Linotype"/>
          <w:color w:val="1B1B1B"/>
          <w:sz w:val="24"/>
          <w:szCs w:val="24"/>
          <w:shd w:val="clear" w:color="auto" w:fill="FFFFFF"/>
        </w:rPr>
      </w:pPr>
      <w:r w:rsidRPr="00B4778C">
        <w:rPr>
          <w:rFonts w:ascii="Palatino Linotype" w:hAnsi="Palatino Linotype"/>
          <w:color w:val="1B1B1B"/>
          <w:sz w:val="24"/>
          <w:szCs w:val="24"/>
          <w:shd w:val="clear" w:color="auto" w:fill="FFFFFF"/>
        </w:rPr>
        <w:t>Kubo, N., Watanabe, T., Chen, X., Matsumoto, T., Yunoki, K., Kuwabara, T., &amp; Kirimoto, H. (2021). The Effect of Prior Knowledge of Color on Behavioral Responses and Event-Related Potentials During Go/No-go Task. </w:t>
      </w:r>
      <w:r w:rsidRPr="00B4778C">
        <w:rPr>
          <w:rFonts w:ascii="Palatino Linotype" w:hAnsi="Palatino Linotype"/>
          <w:i/>
          <w:iCs/>
          <w:color w:val="1B1B1B"/>
          <w:sz w:val="24"/>
          <w:szCs w:val="24"/>
          <w:shd w:val="clear" w:color="auto" w:fill="FFFFFF"/>
        </w:rPr>
        <w:t>Frontiers in human neuroscience</w:t>
      </w:r>
      <w:r w:rsidRPr="00B4778C">
        <w:rPr>
          <w:rFonts w:ascii="Palatino Linotype" w:hAnsi="Palatino Linotype"/>
          <w:color w:val="1B1B1B"/>
          <w:sz w:val="24"/>
          <w:szCs w:val="24"/>
          <w:shd w:val="clear" w:color="auto" w:fill="FFFFFF"/>
        </w:rPr>
        <w:t>, </w:t>
      </w:r>
      <w:r w:rsidRPr="00B4778C">
        <w:rPr>
          <w:rFonts w:ascii="Palatino Linotype" w:hAnsi="Palatino Linotype"/>
          <w:i/>
          <w:iCs/>
          <w:color w:val="1B1B1B"/>
          <w:sz w:val="24"/>
          <w:szCs w:val="24"/>
          <w:shd w:val="clear" w:color="auto" w:fill="FFFFFF"/>
        </w:rPr>
        <w:t>15</w:t>
      </w:r>
      <w:r w:rsidRPr="00B4778C">
        <w:rPr>
          <w:rFonts w:ascii="Palatino Linotype" w:hAnsi="Palatino Linotype"/>
          <w:color w:val="1B1B1B"/>
          <w:sz w:val="24"/>
          <w:szCs w:val="24"/>
          <w:shd w:val="clear" w:color="auto" w:fill="FFFFFF"/>
        </w:rPr>
        <w:t xml:space="preserve">, 674964. </w:t>
      </w:r>
      <w:hyperlink r:id="rId11" w:history="1">
        <w:r w:rsidRPr="00B4778C">
          <w:rPr>
            <w:rStyle w:val="Hyperlink"/>
            <w:rFonts w:ascii="Palatino Linotype" w:hAnsi="Palatino Linotype"/>
            <w:sz w:val="24"/>
            <w:szCs w:val="24"/>
            <w:shd w:val="clear" w:color="auto" w:fill="FFFFFF"/>
          </w:rPr>
          <w:t>https://doi.org/10.3389/fnhum.2021.674964</w:t>
        </w:r>
      </w:hyperlink>
    </w:p>
    <w:p w14:paraId="605ACBA6" w14:textId="2F5A000B" w:rsidR="00E52219" w:rsidRPr="00B4778C" w:rsidRDefault="00E52219">
      <w:pPr>
        <w:rPr>
          <w:rFonts w:ascii="Palatino Linotype" w:hAnsi="Palatino Linotype"/>
          <w:color w:val="1B1B1B"/>
          <w:sz w:val="24"/>
          <w:szCs w:val="24"/>
          <w:shd w:val="clear" w:color="auto" w:fill="FFFFFF"/>
        </w:rPr>
      </w:pPr>
      <w:r w:rsidRPr="00B4778C">
        <w:rPr>
          <w:rFonts w:ascii="Palatino Linotype" w:hAnsi="Palatino Linotype"/>
          <w:color w:val="1B1B1B"/>
          <w:sz w:val="24"/>
          <w:szCs w:val="24"/>
          <w:shd w:val="clear" w:color="auto" w:fill="FFFFFF"/>
        </w:rPr>
        <w:t>Sugawara, Y., Matsuda, Y., Kurokawa, R., Kosuge, R., Kudoh, S., Akaiwa, M., Saito, H., Sasaki, T., &amp; Sugawara, K. (2025). Short-Term Practice Modulates ERP Components Without Behavioral Change in a Short-ISI Go/NoGo Task. </w:t>
      </w:r>
      <w:r w:rsidRPr="00B4778C">
        <w:rPr>
          <w:rFonts w:ascii="Palatino Linotype" w:hAnsi="Palatino Linotype"/>
          <w:i/>
          <w:iCs/>
          <w:color w:val="1B1B1B"/>
          <w:sz w:val="24"/>
          <w:szCs w:val="24"/>
          <w:shd w:val="clear" w:color="auto" w:fill="FFFFFF"/>
        </w:rPr>
        <w:t>Brain sciences</w:t>
      </w:r>
      <w:r w:rsidRPr="00B4778C">
        <w:rPr>
          <w:rFonts w:ascii="Palatino Linotype" w:hAnsi="Palatino Linotype"/>
          <w:color w:val="1B1B1B"/>
          <w:sz w:val="24"/>
          <w:szCs w:val="24"/>
          <w:shd w:val="clear" w:color="auto" w:fill="FFFFFF"/>
        </w:rPr>
        <w:t>, </w:t>
      </w:r>
      <w:r w:rsidRPr="00B4778C">
        <w:rPr>
          <w:rFonts w:ascii="Palatino Linotype" w:hAnsi="Palatino Linotype"/>
          <w:i/>
          <w:iCs/>
          <w:color w:val="1B1B1B"/>
          <w:sz w:val="24"/>
          <w:szCs w:val="24"/>
          <w:shd w:val="clear" w:color="auto" w:fill="FFFFFF"/>
        </w:rPr>
        <w:t>15</w:t>
      </w:r>
      <w:r w:rsidRPr="00B4778C">
        <w:rPr>
          <w:rFonts w:ascii="Palatino Linotype" w:hAnsi="Palatino Linotype"/>
          <w:color w:val="1B1B1B"/>
          <w:sz w:val="24"/>
          <w:szCs w:val="24"/>
          <w:shd w:val="clear" w:color="auto" w:fill="FFFFFF"/>
        </w:rPr>
        <w:t xml:space="preserve">(11), 1208. </w:t>
      </w:r>
      <w:hyperlink r:id="rId12" w:history="1">
        <w:r w:rsidRPr="00B4778C">
          <w:rPr>
            <w:rStyle w:val="Hyperlink"/>
            <w:rFonts w:ascii="Palatino Linotype" w:hAnsi="Palatino Linotype"/>
            <w:sz w:val="24"/>
            <w:szCs w:val="24"/>
            <w:shd w:val="clear" w:color="auto" w:fill="FFFFFF"/>
          </w:rPr>
          <w:t>https://doi.org/10.3390/brainsci15111208</w:t>
        </w:r>
      </w:hyperlink>
    </w:p>
    <w:p w14:paraId="39A9C8DA" w14:textId="42CD8316" w:rsidR="00E52219" w:rsidRPr="00B4778C" w:rsidRDefault="00931E90">
      <w:pPr>
        <w:rPr>
          <w:rFonts w:ascii="Palatino Linotype" w:hAnsi="Palatino Linotype"/>
          <w:color w:val="1B1B1B"/>
          <w:sz w:val="24"/>
          <w:szCs w:val="24"/>
          <w:shd w:val="clear" w:color="auto" w:fill="FFFFFF"/>
        </w:rPr>
      </w:pPr>
      <w:r w:rsidRPr="00B4778C">
        <w:rPr>
          <w:rFonts w:ascii="Palatino Linotype" w:hAnsi="Palatino Linotype"/>
          <w:color w:val="1B1B1B"/>
          <w:sz w:val="24"/>
          <w:szCs w:val="24"/>
          <w:shd w:val="clear" w:color="auto" w:fill="FFFFFF"/>
        </w:rPr>
        <w:t>Zhang, N., An, W., Yu, Y., Wu, J., &amp; Yang, J. (2024). Go/No-Go Ratios Modulate Inhibition-Related Brain Activity: An Event-Related Potential Study. </w:t>
      </w:r>
      <w:r w:rsidRPr="00B4778C">
        <w:rPr>
          <w:rFonts w:ascii="Palatino Linotype" w:hAnsi="Palatino Linotype"/>
          <w:i/>
          <w:iCs/>
          <w:color w:val="1B1B1B"/>
          <w:sz w:val="24"/>
          <w:szCs w:val="24"/>
          <w:shd w:val="clear" w:color="auto" w:fill="FFFFFF"/>
        </w:rPr>
        <w:t>Brain sciences</w:t>
      </w:r>
      <w:r w:rsidRPr="00B4778C">
        <w:rPr>
          <w:rFonts w:ascii="Palatino Linotype" w:hAnsi="Palatino Linotype"/>
          <w:color w:val="1B1B1B"/>
          <w:sz w:val="24"/>
          <w:szCs w:val="24"/>
          <w:shd w:val="clear" w:color="auto" w:fill="FFFFFF"/>
        </w:rPr>
        <w:t>, </w:t>
      </w:r>
      <w:r w:rsidRPr="00B4778C">
        <w:rPr>
          <w:rFonts w:ascii="Palatino Linotype" w:hAnsi="Palatino Linotype"/>
          <w:i/>
          <w:iCs/>
          <w:color w:val="1B1B1B"/>
          <w:sz w:val="24"/>
          <w:szCs w:val="24"/>
          <w:shd w:val="clear" w:color="auto" w:fill="FFFFFF"/>
        </w:rPr>
        <w:t>14</w:t>
      </w:r>
      <w:r w:rsidRPr="00B4778C">
        <w:rPr>
          <w:rFonts w:ascii="Palatino Linotype" w:hAnsi="Palatino Linotype"/>
          <w:color w:val="1B1B1B"/>
          <w:sz w:val="24"/>
          <w:szCs w:val="24"/>
          <w:shd w:val="clear" w:color="auto" w:fill="FFFFFF"/>
        </w:rPr>
        <w:t>(5), 414. https://doi.org/10.3390/brainsci14050414</w:t>
      </w:r>
    </w:p>
    <w:p w14:paraId="056BD98E" w14:textId="2D495008" w:rsidR="00B271A3" w:rsidRPr="00B4778C" w:rsidRDefault="00B271A3" w:rsidP="00931E90">
      <w:pPr>
        <w:rPr>
          <w:rFonts w:ascii="Palatino Linotype" w:hAnsi="Palatino Linotype"/>
          <w:sz w:val="24"/>
          <w:szCs w:val="24"/>
        </w:rPr>
      </w:pPr>
      <w:r w:rsidRPr="00B4778C">
        <w:rPr>
          <w:rFonts w:ascii="Palatino Linotype" w:hAnsi="Palatino Linotype"/>
          <w:color w:val="1B1B1B"/>
          <w:sz w:val="24"/>
          <w:szCs w:val="24"/>
          <w:shd w:val="clear" w:color="auto" w:fill="FFFFFF"/>
        </w:rPr>
        <w:t>Yu, J., Abdullah, M. F. I. L., &amp; Mansor, N. S. (2024). EEG components of inhibitory control ability in internet gaming disorder: A systematic review and meta-analysis of randomized controlled trials. </w:t>
      </w:r>
      <w:r w:rsidRPr="00B4778C">
        <w:rPr>
          <w:rFonts w:ascii="Palatino Linotype" w:hAnsi="Palatino Linotype"/>
          <w:i/>
          <w:iCs/>
          <w:color w:val="1B1B1B"/>
          <w:sz w:val="24"/>
          <w:szCs w:val="24"/>
          <w:shd w:val="clear" w:color="auto" w:fill="FFFFFF"/>
        </w:rPr>
        <w:t>Brain and behavior</w:t>
      </w:r>
      <w:r w:rsidRPr="00B4778C">
        <w:rPr>
          <w:rFonts w:ascii="Palatino Linotype" w:hAnsi="Palatino Linotype"/>
          <w:color w:val="1B1B1B"/>
          <w:sz w:val="24"/>
          <w:szCs w:val="24"/>
          <w:shd w:val="clear" w:color="auto" w:fill="FFFFFF"/>
        </w:rPr>
        <w:t>, </w:t>
      </w:r>
      <w:r w:rsidRPr="00B4778C">
        <w:rPr>
          <w:rFonts w:ascii="Palatino Linotype" w:hAnsi="Palatino Linotype"/>
          <w:i/>
          <w:iCs/>
          <w:color w:val="1B1B1B"/>
          <w:sz w:val="24"/>
          <w:szCs w:val="24"/>
          <w:shd w:val="clear" w:color="auto" w:fill="FFFFFF"/>
        </w:rPr>
        <w:t>14</w:t>
      </w:r>
      <w:r w:rsidRPr="00B4778C">
        <w:rPr>
          <w:rFonts w:ascii="Palatino Linotype" w:hAnsi="Palatino Linotype"/>
          <w:color w:val="1B1B1B"/>
          <w:sz w:val="24"/>
          <w:szCs w:val="24"/>
          <w:shd w:val="clear" w:color="auto" w:fill="FFFFFF"/>
        </w:rPr>
        <w:t>(1), e3388. https://doi.org/10.1002/brb3.3388</w:t>
      </w:r>
    </w:p>
    <w:sectPr w:rsidR="00B271A3" w:rsidRPr="00B4778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74FC5"/>
    <w:multiLevelType w:val="multilevel"/>
    <w:tmpl w:val="F68AA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6035DB"/>
    <w:multiLevelType w:val="multilevel"/>
    <w:tmpl w:val="B546E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BA6B4B"/>
    <w:multiLevelType w:val="multilevel"/>
    <w:tmpl w:val="F7B81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9459566">
    <w:abstractNumId w:val="2"/>
  </w:num>
  <w:num w:numId="2" w16cid:durableId="1775249835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 w16cid:durableId="1157261075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219"/>
    <w:rsid w:val="000379AB"/>
    <w:rsid w:val="001D13A7"/>
    <w:rsid w:val="002A6F63"/>
    <w:rsid w:val="00301CD1"/>
    <w:rsid w:val="006032CE"/>
    <w:rsid w:val="006C30E5"/>
    <w:rsid w:val="006E4166"/>
    <w:rsid w:val="00782362"/>
    <w:rsid w:val="007E3DF1"/>
    <w:rsid w:val="00823F6D"/>
    <w:rsid w:val="00870D0F"/>
    <w:rsid w:val="00931E90"/>
    <w:rsid w:val="00AB35A8"/>
    <w:rsid w:val="00AF6833"/>
    <w:rsid w:val="00B271A3"/>
    <w:rsid w:val="00B4778C"/>
    <w:rsid w:val="00B57391"/>
    <w:rsid w:val="00BB763A"/>
    <w:rsid w:val="00DA7394"/>
    <w:rsid w:val="00DD0B41"/>
    <w:rsid w:val="00E52219"/>
    <w:rsid w:val="00E83FAC"/>
    <w:rsid w:val="00E87B3D"/>
    <w:rsid w:val="00E94252"/>
    <w:rsid w:val="00EA3315"/>
    <w:rsid w:val="00EE350F"/>
    <w:rsid w:val="00F63926"/>
    <w:rsid w:val="00F66B19"/>
    <w:rsid w:val="00FA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99249"/>
  <w15:chartTrackingRefBased/>
  <w15:docId w15:val="{E543B92C-FE7C-4A25-A131-A9F996F0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E522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22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22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22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22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22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22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22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22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2219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2219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2219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2219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2219"/>
    <w:rPr>
      <w:rFonts w:eastAsiaTheme="majorEastAsia" w:cstheme="majorBidi"/>
      <w:noProof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2219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2219"/>
    <w:rPr>
      <w:rFonts w:eastAsiaTheme="majorEastAsia" w:cstheme="majorBidi"/>
      <w:noProof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2219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2219"/>
    <w:rPr>
      <w:rFonts w:eastAsiaTheme="majorEastAsia" w:cstheme="majorBidi"/>
      <w:noProof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22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2219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22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2219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22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2219"/>
    <w:rPr>
      <w:i/>
      <w:iCs/>
      <w:noProof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22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22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22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2219"/>
    <w:rPr>
      <w:i/>
      <w:iCs/>
      <w:noProof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221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5221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2219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931E90"/>
    <w:rPr>
      <w:i/>
      <w:iCs/>
    </w:rPr>
  </w:style>
  <w:style w:type="paragraph" w:customStyle="1" w:styleId="z1qcye">
    <w:name w:val="z1qcye"/>
    <w:basedOn w:val="Normal"/>
    <w:rsid w:val="00E87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en-CA"/>
      <w14:ligatures w14:val="none"/>
    </w:rPr>
  </w:style>
  <w:style w:type="character" w:customStyle="1" w:styleId="t286pc">
    <w:name w:val="t286pc"/>
    <w:basedOn w:val="DefaultParagraphFont"/>
    <w:rsid w:val="00E87B3D"/>
  </w:style>
  <w:style w:type="character" w:styleId="Strong">
    <w:name w:val="Strong"/>
    <w:basedOn w:val="DefaultParagraphFont"/>
    <w:uiPriority w:val="22"/>
    <w:qFormat/>
    <w:rsid w:val="00E87B3D"/>
    <w:rPr>
      <w:b/>
      <w:bCs/>
    </w:rPr>
  </w:style>
  <w:style w:type="character" w:customStyle="1" w:styleId="dtet0b">
    <w:name w:val="dtet0b"/>
    <w:basedOn w:val="DefaultParagraphFont"/>
    <w:rsid w:val="00E87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ijerph19231626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1016/j.bandc.2019.05.012" TargetMode="External"/><Relationship Id="rId12" Type="http://schemas.openxmlformats.org/officeDocument/2006/relationships/hyperlink" Target="https://doi.org/10.3390/brainsci151112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s://doi.org/10.3389/fnhum.2021.674964" TargetMode="External"/><Relationship Id="rId5" Type="http://schemas.openxmlformats.org/officeDocument/2006/relationships/hyperlink" Target="https://www.vosviewer.com/" TargetMode="External"/><Relationship Id="rId10" Type="http://schemas.openxmlformats.org/officeDocument/2006/relationships/hyperlink" Target="https://doi.org/10.3390/brainsci130507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ournals.physiology.org/doi/abs/10.1152/jn.00363.201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Amedeo D'Angiulli</dc:creator>
  <cp:keywords/>
  <dc:description/>
  <cp:lastModifiedBy>Amedeo D'Angiulli</cp:lastModifiedBy>
  <cp:revision>17</cp:revision>
  <dcterms:created xsi:type="dcterms:W3CDTF">2026-04-23T23:07:00Z</dcterms:created>
  <dcterms:modified xsi:type="dcterms:W3CDTF">2026-04-24T13:39:00Z</dcterms:modified>
</cp:coreProperties>
</file>